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2"/>
          <w:szCs w:val="22"/>
        </w:rPr>
      </w:pPr>
      <w:bookmarkStart w:id="0" w:name="_GoBack"/>
      <w:r>
        <w:rPr>
          <w:rFonts w:ascii="Times New Roman" w:hAnsi="Times New Roman" w:cs="Times New Roman"/>
          <w:b/>
          <w:sz w:val="22"/>
          <w:szCs w:val="22"/>
        </w:rPr>
        <w:t>KİŞİSEL VERİLERİN KORUNMASI HAKKINDA</w:t>
      </w:r>
    </w:p>
    <w:p>
      <w:pPr>
        <w:ind w:firstLine="708"/>
        <w:jc w:val="both"/>
        <w:rPr>
          <w:rFonts w:ascii="Times New Roman" w:hAnsi="Times New Roman" w:cs="Times New Roman"/>
          <w:sz w:val="22"/>
          <w:szCs w:val="22"/>
        </w:rPr>
      </w:pPr>
      <w:r>
        <w:rPr>
          <w:rFonts w:ascii="Times New Roman" w:hAnsi="Times New Roman" w:cs="Times New Roman"/>
          <w:sz w:val="22"/>
          <w:szCs w:val="22"/>
        </w:rPr>
        <w:t>Kişisel veri, bireylerin kimliklerini belirli hale getirmeye elverişli her türlü bilgi olarak tanımlanabilir. Bu bağlamda kişinin kimlik, iletişim, sağlık ve mali bilgileri ile özel hayatına, dini inancına ve siyasi görüşüne ilişkin bilgiler, kişisel veri olarak nitelendirilmektedir. Örneğin; ad, soyad, doğum tarihi, cep telefonu numarası, e-posta, cinsiyet, adres, meslek, eğitim, alışveriş noktası ve zamanı, ne kadar ödeme yaptığı, hangi kampanyadan faydalandığı, aldığı indirim tutarı, alışverişindeki ürün bilgileri, uygulama üzerindeki gezinme ve tıklama bilgileri, uygulamayı açtığı lokasyon bilgileri, vs.</w:t>
      </w:r>
    </w:p>
    <w:p>
      <w:pPr>
        <w:ind w:firstLine="708"/>
        <w:jc w:val="both"/>
        <w:rPr>
          <w:rFonts w:ascii="Times New Roman" w:hAnsi="Times New Roman" w:cs="Times New Roman"/>
          <w:sz w:val="22"/>
          <w:szCs w:val="22"/>
        </w:rPr>
      </w:pPr>
      <w:r>
        <w:rPr>
          <w:rFonts w:ascii="Times New Roman" w:hAnsi="Times New Roman" w:cs="Times New Roman"/>
          <w:sz w:val="22"/>
          <w:szCs w:val="22"/>
        </w:rPr>
        <w:t>Günümüzde bu veriler, gerek özel sektör ve gerekse kamu sektörü tarafından bilişim sistemleri üzerinden otomatik yollarla sıkça kullanılmaktadır. Bu bilgilerin kullanılması bireyler ile mal ve hizmet sunanlar bakımından bazı kolaylıklar veya avantajlar sağlasa da, bu durum söz konusu bilgilerin istismar edilme riskini de beraberinde getirmektedir. Bu verilerin yetkisiz kişiler tarafından elde edilmesi, kullanılması ve ifşa edilmesi gerek taraf olduğumuz sözleşmeler ve gerekse Anayasamızda koruma altına alınan temel hakların ihlali olarak karşımıza çıkmaktadır. Bu iki menfaat arasında makul bir dengenin oluşturulması gerekmektedir. Kişisel verilerin işlenebilmesi hususunda özel bir kanun ve etkin bir denetim mekanizmasının bulunmaması toplumumuzda olumsuz bir algının oluşmasına sebebiyet vermektedir. Oluşan bu algının ortadan kaldırılması için kişisel verilerin belli şartlar dahilinde işlenmesine, muhafaza edilmesine ve kontrolüne ilişkin esasların belirlenmesi gerekmektedir.</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Çağımızda insan haklarının korunması bilincinin gelişmesine paralel olarak, kişisel verilerin korunmasının da önemi her geçen gün artmaktadır. Bu nedenle günümüzde gelişmiş ülkelerde kişisel verilerin korunması alanında detaylı kanuni düzenlemelerin uygulanmakta olduğu görülmektedir.</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 Buna karşın ülkemizde, kişisel verilerin korunmasına ilişkin alanı bütüncül olarak düzenleyen bir kanun bulunmamakta, bu konuya ilişkin hükümler farklı kanunlarda yer almaktadır. Ayrıca ülkemizde kişisel verilerin işlenmesi sürecini kontrol edecek ve denetleyecek bir kurum da bulunmamaktadır. Bunun bir sonucu olarak, halen kişisel veriler yeterli düzenleme ve denetime tabi olmaksızın, birçok kişi veya kurum tarafından kullanılabilmekte ve bu durum bazı hak ihlallerinin yaşanmasına sebep olabilmektedir. </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Ülkemizde kişisel verilerin korunmasını sağlayacak bir kanunun yürürlüğe girmesini gerektiren değişik sebepler bulunmaktadır. Öncelikle, 5237 sayılı Türk Ceza Kanununun 135 ve devamı maddelerinde, kişisel verilerin hukuka aykırı olarak elde edilmesi, kaydedilmesi veya ifşa edilmesi fiilleri suç olarak düzenlenmiş ve yaptırıma bağlanmıştır. Bununla birlikte, kişisel verilerin işlenmesine yönelik özel bir kanunun bulunmaması sebebiyle, bu fillerin ne zaman hukuka aykırı, ne zaman hukuka uygun olduğunun belirlenmesinde tereddütlerin yaşandığı görülmektedir. </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Öte yandan 12 Eylül 2010 tarihinde yapılan halkoylaması sonucu kabul edilen 5982 sayılı Kanunla Anayasanın 20 nci maddesinde yapılan düzenlemeyle, kişisel verilerin korunması temel bir insan hakkı olarak güvence altına alınmış ve detayların kanunla düzenlenmesi öngörülmüştür. </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Yine ülkemizle ilgili olarak devam etmekte olan Avrupa Birliği tam üyelik sürecinde, müzakere fasıllarından dördü, doğrudan kişisel verilerle ilgilidir. Bu fasıllarla ilgili sürecin ilerleyebilmesi için ülkemizde kişisel verilerin korunmasına ilişkin temel bir kanunun yürürlüğe girmesi gerekmektedir. </w:t>
      </w:r>
    </w:p>
    <w:p>
      <w:pPr>
        <w:ind w:firstLine="708"/>
        <w:jc w:val="both"/>
        <w:rPr>
          <w:rFonts w:ascii="Times New Roman" w:hAnsi="Times New Roman" w:cs="Times New Roman"/>
          <w:sz w:val="22"/>
          <w:szCs w:val="22"/>
        </w:rPr>
      </w:pPr>
      <w:r>
        <w:rPr>
          <w:rFonts w:ascii="Times New Roman" w:hAnsi="Times New Roman" w:cs="Times New Roman"/>
          <w:sz w:val="22"/>
          <w:szCs w:val="22"/>
        </w:rPr>
        <w:t xml:space="preserve">Kişisel verilerin korunması konusu 1980’li yıllardan itibaren uluslararası belgelerde yer almaya başlamıştır. İlk olarak, ülkemizin de üyesi bulunduğu, İktisadi İşbirliği ve Kalkınma Teşkilatı (OECD) tarafından 23/9/1980 tarihinde “Kişisel Alanın ve Sınır Aşan Kişisel Bilgi Trafiğinin Korunmasına İlişkin Rehber İlkeler” kabul edilmiştir. Avrupa Konseyi tarafından, tüm üye ülkelerde kişisel verilerin aynı standartlarda korunması ve sınır ötesi veri akışı ilkelerinin belirlenmesi amacıyla hazırlanan 108 sayılı “Kişisel Verilerin Otomatik İşleme Tabi Tutulması Karşısında Bireylerin Korunması Sözleşmesi”, 28 Ocak 1981 tarihinde imzaya açılmış ve ülkemiz tarafından da imzalanmıştır. </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Avrupa Konseyi ayrıca, kişisel verilerin korunmasına yönelik, tıbbi veri bankaları, bilimsel araştırma ve istatistik, doğrudan pazarlama, sosyal güvenlik, sigorta, polis kayıtları, istihdam, elektronik ödeme, telekomünikasyon ve internet gibi çeşitli sektörlerde uygulanacak ilkeleri belirleyen tavsiye kararları da kabul etmiştir. Tasarının hazırlanması sırasında, söz konusu tavsiye kararları gözönüne alınmakla beraber, Tasarının “çerçeve tasarı” niteliği korunmuştur. Tüm sektörlerle ilgili düzenlemelere yer verilmesi halinde, Tasarının hacminin çok genişleyeceği düşünülerek, söz konusu tavsiye kararları Tasarıya alınmamıştır. Bu tavsiye kararlarında yer alan ilkelere, ilerleyen süreçte, değişik sektörlerle ilgili yapılacak düzenlemelerde yer verilebileceği değerlendirilmiştir.</w:t>
      </w:r>
    </w:p>
    <w:p>
      <w:pPr>
        <w:ind w:firstLine="70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 xml:space="preserve"> Öte yandan, Avrupa Birliği, üye ülkelerin kişisel verilerin korunmasına ilişkin mevzuatı arasında uyum sağlamak üzere, 24/10/1995 tarihinde “Kişisel Verilerin İşlenmesi Sırasında Gerçek Kişilerin Korunması ve Serbest Veri Trafiği Direktifi”ni (95/46/EC) yürürlüğe koymuştur. Bu Direktifle, üye ülkelerdeki bireylerin kişisel verilerinin üst düzeyde korunması ve kişisel verilerin Avrupa Birliği içerisinde özgür dolaşımını sağlayacak açık ve kalıcı bir düzenleme yapılması amaçlanmıştır. Kişisel verilerin korunmasına yönelik uluslararası belgeler göz önüne alındığında; bu konuya ilişkin hazırlanacak kanunda, kişisel verilerin işlenme şartlarının, bireylerin aydınlatılmasının, bu alanı denetleyecek ve düzenleyecek bir otoritenin oluşturulmasının, veri güvenliğine ilişkin gerekli tedbirlerin alınmasının temel ilkeler olarak kabul edildiği görülmektedir. </w:t>
      </w:r>
    </w:p>
    <w:p>
      <w:pPr>
        <w:ind w:firstLine="708"/>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Söz konusu VKD ve öncesi antlaşma ve direktiflerin güncel olaylar karşısında yetersiz kalması ve ülkeden ülkeye imzalanan antlaşma ve direktiflerin farklılık göstermesi karşısında tüm AB’yi kapsayacak bir reform üzerinde 15 Aralık 2011’de uzlaşmaya varılmıştır. Bu kapsamda 2012 yılında hazırlanan GDPR, 14 Nisan 2016 tarihinde AB Parlamentosu tarafından kabul edilmiştir. GDPR 94.madde 95/46 VKD’yi yürürlükten kaldırırken 2002/58/ EC Elektronik Veri Koruma Direktifi’nin uygulama alanını genişletmiştir.  </w:t>
      </w:r>
    </w:p>
    <w:p>
      <w:pPr>
        <w:ind w:firstLine="708"/>
        <w:jc w:val="both"/>
        <w:rPr>
          <w:rFonts w:ascii="Times New Roman" w:hAnsi="Times New Roman" w:cs="Times New Roman"/>
          <w:sz w:val="22"/>
          <w:szCs w:val="22"/>
        </w:rPr>
      </w:pPr>
      <w:r>
        <w:rPr>
          <w:rFonts w:ascii="Times New Roman" w:hAnsi="Times New Roman" w:cs="Times New Roman"/>
          <w:sz w:val="22"/>
          <w:szCs w:val="22"/>
        </w:rPr>
        <w:t>2010 yılında 5982 sayılı Kanun’la yapılan Anayasa değişikliği ile Anayasa’nın 20. maddesine ilave bir fıkra eklenmiştir. Söz konusu fıkrada;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hükmüne yer verilmiştir.</w:t>
      </w:r>
    </w:p>
    <w:p>
      <w:pPr>
        <w:ind w:firstLine="708"/>
        <w:jc w:val="both"/>
        <w:rPr>
          <w:rFonts w:ascii="Times New Roman" w:hAnsi="Times New Roman" w:cs="Times New Roman"/>
          <w:sz w:val="22"/>
          <w:szCs w:val="22"/>
        </w:rPr>
      </w:pPr>
      <w:r>
        <w:rPr>
          <w:rFonts w:ascii="Times New Roman" w:hAnsi="Times New Roman" w:cs="Times New Roman"/>
          <w:sz w:val="22"/>
          <w:szCs w:val="22"/>
        </w:rPr>
        <w:t>Anayasada da, kişisel verilerin korunmasıyla ilgili detaylı düzenlemelerin kanunla yapılacağı belirtilmektedir. Bu kapsamda 26 Aralık 2014 tarihinde “Kişisel Verilerin Korunması Kanunu Tasarısı” TBMM Başkanlığına sunulmuştur. Tasarı, 24 Mart 2016 tarihinde kanunlaşmış ve 6698 sayılı Kişisel Verilerin Korunması Kanunu 7 Nisan 2016 tarih ve 29677 sayılı Resmi Gazetede yayımlanarak yürürlüğe girmiştir.</w:t>
      </w:r>
    </w:p>
    <w:p>
      <w:pPr>
        <w:ind w:firstLine="708"/>
        <w:jc w:val="both"/>
        <w:rPr>
          <w:rFonts w:ascii="Times New Roman" w:hAnsi="Times New Roman" w:cs="Times New Roman"/>
          <w:sz w:val="22"/>
          <w:szCs w:val="22"/>
        </w:rPr>
      </w:pPr>
      <w:r>
        <w:rPr>
          <w:rFonts w:ascii="Times New Roman" w:hAnsi="Times New Roman" w:cs="Times New Roman"/>
          <w:sz w:val="22"/>
          <w:szCs w:val="22"/>
        </w:rPr>
        <w:t>Uluslararası belgeler, mukayeseli hukuk uygulamaları ve ülkemiz ihtiyaçları göz önüne alınmak suretiyle hazırlanan Tasarıyla, kişisel verilerin çağdaş standartlarda işlenmesi ve koruma altına alınması amaçlanmaktadır.</w:t>
      </w:r>
    </w:p>
    <w:p>
      <w:pPr>
        <w:jc w:val="both"/>
        <w:rPr>
          <w:rFonts w:ascii="Times New Roman" w:hAnsi="Times New Roman" w:cs="Times New Roman"/>
          <w:b/>
          <w:sz w:val="22"/>
          <w:szCs w:val="22"/>
        </w:rPr>
      </w:pPr>
    </w:p>
    <w:bookmarkEnd w:id="0"/>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385136"/>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S9</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89"/>
    <w:rsid w:val="00070610"/>
    <w:rsid w:val="001479EB"/>
    <w:rsid w:val="00260CBD"/>
    <w:rsid w:val="003C6B89"/>
    <w:rsid w:val="00713E43"/>
    <w:rsid w:val="00A957C5"/>
    <w:rsid w:val="00C8797A"/>
    <w:rsid w:val="4E5A3F7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36"/>
        <w:tab w:val="right" w:pos="9072"/>
      </w:tabs>
      <w:spacing w:after="0" w:line="240" w:lineRule="auto"/>
    </w:pPr>
  </w:style>
  <w:style w:type="paragraph" w:styleId="5">
    <w:name w:val="header"/>
    <w:basedOn w:val="1"/>
    <w:link w:val="6"/>
    <w:unhideWhenUsed/>
    <w:uiPriority w:val="99"/>
    <w:pPr>
      <w:tabs>
        <w:tab w:val="center" w:pos="4536"/>
        <w:tab w:val="right" w:pos="9072"/>
      </w:tabs>
      <w:spacing w:after="0" w:line="240" w:lineRule="auto"/>
    </w:pPr>
  </w:style>
  <w:style w:type="character" w:customStyle="1" w:styleId="6">
    <w:name w:val="Üst Bilgi Char"/>
    <w:basedOn w:val="2"/>
    <w:link w:val="5"/>
    <w:qFormat/>
    <w:uiPriority w:val="99"/>
  </w:style>
  <w:style w:type="character" w:customStyle="1" w:styleId="7">
    <w:name w:val="Alt Bilgi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3</Pages>
  <Words>1148</Words>
  <Characters>6545</Characters>
  <Lines>54</Lines>
  <Paragraphs>15</Paragraphs>
  <TotalTime>5</TotalTime>
  <ScaleCrop>false</ScaleCrop>
  <LinksUpToDate>false</LinksUpToDate>
  <CharactersWithSpaces>7678</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2020-09-01T09:33:00Z</dcterms:created>
  <dc:creator>ASUS</dc:creator>
  <cp:lastModifiedBy>User</cp:lastModifiedBy>
  <dcterms:modified xsi:type="dcterms:W3CDTF">2021-12-27T11:53:17Z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C25AA68BF8C6450EA5EB259A9962FB49</vt:lpwstr>
  </property>
</Properties>
</file>